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Fotografía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Fotografía básica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Implementa elementos del lenguaje de los medios de comunicación (encuadre, plano,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angulación) en la producción de contenidos visuales o audiovisuales.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Propone configuraciones estéticas y alternativas visuales haciendo uso del lenguaje audiovisual con un propósito concreto (comercial, cultural, social).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Iluminación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Utiliza eficientemente equipos y técnicas de iluminación en entornos analógicos y digitales para proyectos fotográficos específicos.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Género y estilos en el estudio fotográfico y fuera del estudio fotográfico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Maneja la técnica del ‘Chroma key’ para generar escenografía, entornos y contextos visuales.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Evalúa la utilidad del equipo necesario, complementario o accesorio para capturar imágenes fuera del estudio fotográfico en función del género, la locación y las características del registro.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Fundamentos básicos del diseño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Maneja los elementos básicos del diseño cuidando las articulaciones y armonía de contraste, textura, dimensión y movimiento.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Procedimientos del lenguaje 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Ordena y gestiona los archivos digitales cuidado la calidad, resolución y tamaño de la información con criterio de uso a futuro.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Marketing y social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 Elige los contenidos y planifica su publicación en los entornos adecuados (virtuales o físicos) haciendo uso de herramientas especificas según los objetivos planteados.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Procesamiento del lenguaje audiovisual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Monta una secuencia visual usando varios elementos narrativos y visuales aportando</w:t>
            </w:r>
          </w:p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sentido y coherencia al resultado final.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Laboratorio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Crea un producto fotográfico o audiovisual creativo/experimental, basándose en las</w:t>
            </w:r>
          </w:p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necesidades y soluciones identificadas y los aplica con conocimientos integrales.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Postproducción fotográfica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Selecciona las herramientas de hardware y software adecuadas para resolver las necesidades de imagen y calidad que exija el proyecto.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Nuevos medios y recursos fotográficos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Estructura experiencias inmersivas a través del manejo de programas especializados.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6"/>
                <w:szCs w:val="16"/>
                <w:rtl w:val="0"/>
              </w:rPr>
              <w:t xml:space="preserve">MSc. Grace Tulcanazo B.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DE VINCULACIÓN CON EL MEDIO Y RESPONSABILIDAD SOCIAL DE LA CARRERA DE FOTOGRAFÍA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7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8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AB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TT4ceUrIRZZ4NRWXozdCmwHTQ==">CgMxLjA4AHIhMUxTSzVtZXJRb201SV8xbVVITXZyM19CcllQUWZUNHJj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