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Desarrollo de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4"/>
                <w:szCs w:val="14"/>
                <w:rtl w:val="0"/>
              </w:rPr>
              <w:t xml:space="preserve">(Marque con una x):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(Marque con una x):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Ofimática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Integrar herramientas de ofimática en la planificación y ejecución de proyectos, demostrando capacidad para facilitar la colaboración en equipo y resolver problemas con creatividad e innovación.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Base de 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y modela bases de datos en sistemas de administración de bases de datos (SGBD) relacionales y no relacionales.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Base de Datos avanzada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Demuestra capacidad de emplear herramientas y tecnologías de programación específicas para llevar a cabo tareas de desarrollo de software, integrando estas herramientas en el desarrollo y mantenimiento de aplicaciones de bases de datos.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Fundamentos de redes y telecomunicaciones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Emplea topologías de red de datos (Malla, Espiral, Jerárquica, Estrella) para compartir recursos informáticos entidades públicas o privadas.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Programación web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sitios web utilizando HTML5, CSS3 y JavaScript, aplicando correctamente las estructuras y estilos para crear interfaces de usuario atractivas y funcionales.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Programación web avanzada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Construye aplicaciones web estructuradas siguiendo el patrón de diseño Model-View-Controller (MVC), lo que permitirá una separación clara de la lógica de negocio, la interfaz de usuario y la gestión de datos, facilitando el mantenimiento y escalabilidad de las aplicaciones.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Programación móvil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Implementar y gestionar transacciones de datos en aplicaciones móviles, incluyendo la integración con servicios web, APIs y bases de datos en la nube.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Diseño de interfaz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Diseña interfaces de usuario intuitivas y accesibles aplicando principios de usabilidad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Fundamentos de programación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Entiende y aplicar los conceptos esenciales de la programación, como las estructuras de control, los tipos de datos y las funciones. Aprenderá a diseñar soluciones para problemas reales utilizando un lenguaje de programación de alto nivel, desarrollando un pensamiento lógico y estructurado. Además, podrá escribir código claro y eficiente, mejorando su capacidad para analizar problemas y crear algoritmos que los resuelvan de manera efectiva. Maneja herramientas y tecnologías de programación para llevar a cabo tareas específicas en el campo de desarrollo de software.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Programación Orientada a Objetos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Utiliza definiciones, métodos y herramientas de programación que faciliten la creación de soluciones de software.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Proporciona asistencia técnica integral en el desarrollo de aplicaciones de software, cubriendo todas las etapas del proyecto, desde el análisis inicial hasta la implementación final, incluyendo la planificación y la optimización del rendimiento.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Emplea tecnologías y herramientas de programación avanzadas para ejecutar tareas especializadas en el ámbito del desarrollo de software, garantizando eficiencia y calidad en cada etapa del proceso.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Análisis y Diseño de Sistemas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Brinda asistencia técnica en el desarrollo de aplicaciones de software, desde el análisis del problema y la planificación del proyecto, hasta la implementación, el mantenimiento, la prueba y la documentación.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Determina los recursos necesarios para el desarrollo de un proyecto software, considerando el hardware, el software y las redes.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Metodología de Desarrollo de Sistemas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técnicas de investigación y análisis para identificar y proponer soluciones innovadoras en el desarrollo de software en sectores industriales específicos.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Diseña y modela sistemas de software, utilizando herramientas y tecnologías actuales, para la construcción eficiente de aplicaciones que resuelvan problemas concretos en diferentes contextos.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aplicaciones de software siguiendo un ciclo completo de vida, desde la planificación y análisis hasta la implementación, pruebas y mantenimiento, asegurando la calidad y funcionalidad del producto final.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Métricas de Calidad de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Diseña, ejecuta y documenta pruebas de software para asegurar la calidad.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Reportar de manera efectiva los resultados de las pruebas de calidad, destacando las áreas de mejora.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Evalúa la calidad de un proyecto de software existente, aplicando métricas relevantes.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Diseña, ejecuta y documenta pruebas de software para asegurar la calidad.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Ing. Robinson Campaña Obando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VINCULACIÓN CON EL MEDIO Y RESPONSABILIDAD SOCIAL DE LA CARRERA DE DESARROLLO DE SOFTWARE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-736599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A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B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BE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AdYkfXh9qhiItbdmaUWaiauyw==">CgMxLjA4AHIhMV9ZakxnajloQU5wc0FsVDd6bFdITGRwcEpVcjh0LU9H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