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85"/>
        <w:gridCol w:w="1407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E71368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:rsidR="00E71368" w:rsidRDefault="00E71368" w:rsidP="002C3193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E71368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:rsidTr="002C319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PSC: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PSC: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 w:cstheme="minorHAnsi"/>
                <w:sz w:val="12"/>
                <w:szCs w:val="14"/>
              </w:rPr>
              <w:t>ENTIDAD RECEPTORA</w:t>
            </w:r>
            <w:r>
              <w:rPr>
                <w:rFonts w:ascii="Georgia" w:hAnsi="Georgia" w:cstheme="minorHAnsi"/>
                <w:sz w:val="14"/>
                <w:szCs w:val="14"/>
              </w:rPr>
              <w:t>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:rsidTr="002C3193">
        <w:trPr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79071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790714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79071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79071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79071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79071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79071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79071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79071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79071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79071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79071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HORAS PSC DIARIAS: </w:t>
            </w:r>
          </w:p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E71368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79071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790714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79071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79071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79071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79071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425"/>
        <w:gridCol w:w="6803"/>
        <w:gridCol w:w="2835"/>
        <w:gridCol w:w="1984"/>
      </w:tblGrid>
      <w:tr w:rsidR="00E71368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E71368" w:rsidTr="00BF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25209B" w:rsidP="00BF6A0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Soldadura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25209B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Identifica las máquinas de soldar y demuestra habilidades en el uso de los distintos equipos de soldadura existentes en el taller aplicando normas de seguridad y los conocimientos mostrados en los procesos demostrativos.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BF6A0A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25209B" w:rsidP="00BF6A0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Fluidos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Pr="0025209B" w:rsidRDefault="0025209B" w:rsidP="00BF6A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Identifica cada uno de los componentes y las variables que intervienen en un sistema que funciona con fluidos guiado por planos mecánicos que detallan las características fundamentales de una máquina.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BF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BF6A0A">
            <w:pPr>
              <w:spacing w:line="259" w:lineRule="auto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Taller mecánico</w:t>
            </w:r>
          </w:p>
          <w:p w:rsidR="00E71368" w:rsidRDefault="00E71368" w:rsidP="00BF6A0A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25209B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Reconoce las partes de cada equipo del taller para su correcto uso y utilización, aplicando normas de seguridad y técnicas aprendidas en las demostraciones prácticas.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BF6A0A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25209B" w:rsidP="00BF6A0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Instrumentación Industrial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E71368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Georgia" w:hAnsi="Georgia" w:cs="Georgia"/>
                <w:sz w:val="14"/>
                <w:szCs w:val="14"/>
              </w:rPr>
              <w:t xml:space="preserve">                                                                        </w:t>
            </w:r>
          </w:p>
          <w:p w:rsidR="0025209B" w:rsidRDefault="0025209B" w:rsidP="00BF6A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Instrumenta las diferentes variables que pueden encontrarse en procesos productivos industriales, aplicando conocimiento de sensores, acondicionadores y transmisores.</w:t>
            </w:r>
          </w:p>
          <w:p w:rsidR="00E71368" w:rsidRPr="0025209B" w:rsidRDefault="00E71368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BF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BF6A0A">
            <w:pPr>
              <w:spacing w:line="259" w:lineRule="auto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Máquinas Eléctricas</w:t>
            </w:r>
          </w:p>
          <w:p w:rsidR="00E71368" w:rsidRDefault="00E71368" w:rsidP="00BF6A0A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BF6A0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Tiene la capacidad de identificar los diferentes tipos de máquinas eléctricas tanto estáticas como dinámicas, de corriente continua y alterna para una correcta aplicación en procesos productivos.  </w:t>
            </w:r>
          </w:p>
          <w:p w:rsidR="00E71368" w:rsidRPr="00E71368" w:rsidRDefault="00E71368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BF6A0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25209B" w:rsidP="00BF6A0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Máquinas Herramientas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BF6A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Mecaniza piezas de hierro, aceros y materiales blandos mediante el uso de máquinas herramientas convencionales.</w:t>
            </w:r>
          </w:p>
          <w:p w:rsidR="00E71368" w:rsidRPr="00E71368" w:rsidRDefault="00E71368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BF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25209B" w:rsidP="00BF6A0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Calor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25209B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Identifica las ecuaciones y procesos termodinámicos existentes, para su aplicación en el funcionamiento de máquinas térmicas generadoras de electricidad.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BF6A0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25209B" w:rsidP="00BF6A0A">
            <w:pPr>
              <w:tabs>
                <w:tab w:val="left" w:pos="2090"/>
              </w:tabs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Control Industrial y PLC</w:t>
            </w:r>
            <w:r>
              <w:rPr>
                <w:rFonts w:ascii="Georgia" w:hAnsi="Georgia"/>
                <w:sz w:val="14"/>
                <w:szCs w:val="14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Pr="00E71368" w:rsidRDefault="0025209B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>
              <w:rPr>
                <w:rFonts w:ascii="Georgia" w:hAnsi="Georgia"/>
                <w:sz w:val="14"/>
                <w:szCs w:val="14"/>
              </w:rPr>
              <w:t>Implementa circuitos para el control de máquinas eléctricas de corriente continua y corriente alterna mediante la utilización de elementos electromecánicos y PLC´s, aplicando las normativas que rigen a los mismos.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BF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25209B" w:rsidP="00BF6A0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>Energías Renovables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25209B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Conoce diferentes alternativas para la reducción del consumo energético sin modificar las condiciones confort y eficiencia energética.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BF6A0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25209B" w:rsidP="00BF6A0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Mecanismos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25209B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Identifica distintos materiales y sistemas de transmisión encargados de transformar la energía mecánica para su aplicación en procesos.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BF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25209B" w:rsidP="00BF6A0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Diseño y Manufactura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Aplica el principio de funcionamiento de elementos de</w:t>
            </w:r>
          </w:p>
          <w:p w:rsidR="00E71368" w:rsidRPr="00E71368" w:rsidRDefault="0025209B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>
              <w:rPr>
                <w:rFonts w:ascii="Georgia" w:hAnsi="Georgia"/>
                <w:sz w:val="14"/>
                <w:szCs w:val="14"/>
              </w:rPr>
              <w:t>máquinas para la simulación en software de diseño y su posterior mecanizado en CNC.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25209B" w:rsidTr="00BF6A0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BF6A0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Neumática y Electroneumática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Analiza de manera teórica y práctica el funcionamiento de los</w:t>
            </w:r>
          </w:p>
          <w:p w:rsidR="0025209B" w:rsidRPr="00E71368" w:rsidRDefault="0025209B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>
              <w:rPr>
                <w:rFonts w:ascii="Georgia" w:hAnsi="Georgia"/>
                <w:sz w:val="14"/>
                <w:szCs w:val="14"/>
              </w:rPr>
              <w:t>circuitos Neumáticos y Electroneumáticos para la obtención de una correcta funcionalidad de los mismos.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25209B" w:rsidTr="00BF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BF6A0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Automatización y Control de Procesos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Pr="00E71368" w:rsidRDefault="0025209B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>
              <w:rPr>
                <w:rFonts w:ascii="Georgia" w:hAnsi="Georgia"/>
                <w:sz w:val="14"/>
                <w:szCs w:val="14"/>
              </w:rPr>
              <w:t>Instrumenta, diagnostica y controla a las unidades básicas de una planta de procesos industriales para obtener la estabilidad en el tiempo.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25209B" w:rsidTr="00BF6A0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BF6A0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Mantenimiento Electromecánico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Pr="0025209B" w:rsidRDefault="0025209B" w:rsidP="00BF6A0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Realiza el Mantenimiento Electromecánico para mejorar la vida útil de elementos intervinientes en sistemas industriales.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25209B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9B" w:rsidRDefault="0025209B" w:rsidP="0025209B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Climatización y Refrigeración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9B" w:rsidRDefault="0025209B" w:rsidP="002C3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Pr="00E71368" w:rsidRDefault="0025209B" w:rsidP="0025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>
              <w:rPr>
                <w:rFonts w:ascii="Georgia" w:hAnsi="Georgia"/>
                <w:sz w:val="14"/>
                <w:szCs w:val="14"/>
              </w:rPr>
              <w:t>Maneja y comprende el funcionamiento de los sistemas de climatización y refrigeración para entornos industriales o domiciliarios, obteniendo un balance térmico que permite el uso eficiente de la energía.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B" w:rsidRDefault="0025209B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:rsidR="00E71368" w:rsidRDefault="00E71368" w:rsidP="00E71368">
      <w:pPr>
        <w:rPr>
          <w:rFonts w:asciiTheme="minorHAnsi" w:hAnsiTheme="minorHAnsi" w:cstheme="minorBidi"/>
          <w:lang w:eastAsia="en-US"/>
        </w:rPr>
      </w:pPr>
    </w:p>
    <w:p w:rsidR="00E71368" w:rsidRDefault="00E71368" w:rsidP="00E71368">
      <w:pPr>
        <w:jc w:val="right"/>
        <w:rPr>
          <w:rFonts w:ascii="Georgia" w:hAnsi="Georgia"/>
          <w:sz w:val="14"/>
          <w:szCs w:val="14"/>
        </w:rPr>
      </w:pP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Nota:</w:t>
      </w:r>
      <w:r>
        <w:rPr>
          <w:rFonts w:ascii="Georgia" w:hAnsi="Georgia"/>
          <w:sz w:val="14"/>
          <w:szCs w:val="14"/>
          <w:highlight w:val="yellow"/>
        </w:rPr>
        <w:t xml:space="preserve"> El </w:t>
      </w: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sistema de evaluación</w:t>
      </w:r>
      <w:r>
        <w:rPr>
          <w:rFonts w:ascii="Georgia" w:hAnsi="Georgia"/>
          <w:sz w:val="14"/>
          <w:szCs w:val="14"/>
          <w:highlight w:val="yellow"/>
        </w:rPr>
        <w:t xml:space="preserve"> se realiza con el FORMATO 7_EV_FINAL_APELLIDO_NOMBRE, el mismo que permitirá determinar si el estudiante logró los resultados de aprendizaje planificado.</w:t>
      </w:r>
    </w:p>
    <w:p w:rsidR="00E71368" w:rsidRDefault="00E71368" w:rsidP="00E71368">
      <w:pPr>
        <w:rPr>
          <w:rFonts w:asciiTheme="minorHAnsi" w:hAnsiTheme="minorHAnsi"/>
        </w:rPr>
      </w:pP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E71368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1368" w:rsidRDefault="00E71368" w:rsidP="002C3193">
            <w:pPr>
              <w:rPr>
                <w:color w:val="auto"/>
              </w:rPr>
            </w:pPr>
          </w:p>
          <w:p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:rsidR="00E71368" w:rsidRDefault="00E71368" w:rsidP="002C3193">
            <w:pPr>
              <w:jc w:val="center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r>
              <w:rPr>
                <w:rFonts w:ascii="Georgia" w:hAnsi="Georgia" w:cstheme="minorHAnsi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E71368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:rsidR="00E71368" w:rsidRDefault="00E71368" w:rsidP="002C3193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  <w:t>Nombre 1 Apellido1</w:t>
            </w:r>
          </w:p>
          <w:p w:rsidR="00E71368" w:rsidRDefault="00E71368" w:rsidP="002C3193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 w:val="0"/>
                <w:sz w:val="16"/>
                <w:szCs w:val="16"/>
              </w:rPr>
              <w:t>MIEMBRO DE CVS</w:t>
            </w:r>
            <w:r>
              <w:rPr>
                <w:rFonts w:ascii="Georgia" w:hAnsi="Georgia"/>
                <w:sz w:val="16"/>
                <w:szCs w:val="16"/>
              </w:rPr>
              <w:t xml:space="preserve"> DE LA CARRERA DE……………</w:t>
            </w:r>
          </w:p>
        </w:tc>
      </w:tr>
    </w:tbl>
    <w:p w:rsidR="00E71368" w:rsidRDefault="00E71368" w:rsidP="00E71368"/>
    <w:p w:rsidR="00EC710A" w:rsidRDefault="00EC710A"/>
    <w:sectPr w:rsidR="00EC710A" w:rsidSect="00A064D0">
      <w:headerReference w:type="default" r:id="rId6"/>
      <w:footerReference w:type="default" r:id="rId7"/>
      <w:pgSz w:w="16838" w:h="11906" w:orient="landscape"/>
      <w:pgMar w:top="1135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5764" w:rsidRDefault="00565764" w:rsidP="00E71368">
      <w:pPr>
        <w:spacing w:after="0" w:line="240" w:lineRule="auto"/>
      </w:pPr>
      <w:r>
        <w:separator/>
      </w:r>
    </w:p>
  </w:endnote>
  <w:endnote w:type="continuationSeparator" w:id="0">
    <w:p w:rsidR="00565764" w:rsidRDefault="00565764" w:rsidP="00E7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0714" w:rsidRDefault="00790714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1312" behindDoc="1" locked="0" layoutInCell="1" allowOverlap="1" wp14:anchorId="658E7769" wp14:editId="2587E73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02595" cy="1227512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2595" cy="122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5764" w:rsidRDefault="00565764" w:rsidP="00E71368">
      <w:pPr>
        <w:spacing w:after="0" w:line="240" w:lineRule="auto"/>
      </w:pPr>
      <w:r>
        <w:separator/>
      </w:r>
    </w:p>
  </w:footnote>
  <w:footnote w:type="continuationSeparator" w:id="0">
    <w:p w:rsidR="00565764" w:rsidRDefault="00565764" w:rsidP="00E7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23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2"/>
      <w:gridCol w:w="3969"/>
      <w:gridCol w:w="2551"/>
    </w:tblGrid>
    <w:tr w:rsidR="00E71368" w:rsidTr="00A064D0">
      <w:trPr>
        <w:trHeight w:val="416"/>
      </w:trPr>
      <w:tc>
        <w:tcPr>
          <w:tcW w:w="2552" w:type="dxa"/>
          <w:vMerge w:val="restart"/>
          <w:vAlign w:val="center"/>
        </w:tcPr>
        <w:p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243CDEC7" wp14:editId="4E3B2B18">
                <wp:extent cx="1572895" cy="483235"/>
                <wp:effectExtent l="0" t="0" r="1905" b="0"/>
                <wp:docPr id="1826694146" name="Imagen 1826694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E71368" w:rsidRPr="00E05CD7" w:rsidRDefault="00E71368" w:rsidP="00E71368">
          <w:pPr>
            <w:spacing w:before="120" w:after="120"/>
            <w:ind w:hanging="2"/>
            <w:jc w:val="center"/>
            <w:rPr>
              <w:rFonts w:ascii="Georgia" w:hAnsi="Georgia"/>
              <w:color w:val="000000"/>
              <w:sz w:val="16"/>
              <w:szCs w:val="16"/>
            </w:rPr>
          </w:pPr>
          <w:r>
            <w:rPr>
              <w:rFonts w:ascii="Georgia" w:eastAsia="Arial" w:hAnsi="Georgia" w:cs="Arial"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 w:val="restart"/>
          <w:vAlign w:val="center"/>
        </w:tcPr>
        <w:p w:rsidR="00E71368" w:rsidRDefault="00E71368" w:rsidP="00E71368">
          <w:pPr>
            <w:spacing w:after="0"/>
            <w:ind w:hanging="2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Código:   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ISUS-</w:t>
          </w:r>
          <w:r>
            <w:rPr>
              <w:rFonts w:ascii="Georgia" w:eastAsia="Georgia" w:hAnsi="Georgia" w:cs="Georgia"/>
              <w:sz w:val="16"/>
              <w:szCs w:val="16"/>
            </w:rPr>
            <w:t>PSC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PD-001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A04</w:t>
          </w:r>
        </w:p>
        <w:p w:rsidR="00E71368" w:rsidRPr="008F6E6A" w:rsidRDefault="00E71368" w:rsidP="00E71368">
          <w:pPr>
            <w:spacing w:after="0"/>
            <w:ind w:right="-117" w:hanging="2"/>
            <w:rPr>
              <w:rFonts w:ascii="Georgia" w:eastAsia="Georgia" w:hAnsi="Georgia" w:cs="Georgia"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 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E05CD7">
            <w:rPr>
              <w:rFonts w:ascii="Georgia" w:eastAsia="Georgia" w:hAnsi="Georgia" w:cs="Georgia"/>
              <w:sz w:val="16"/>
              <w:szCs w:val="16"/>
            </w:rPr>
            <w:t>0</w:t>
          </w:r>
          <w:r>
            <w:rPr>
              <w:rFonts w:ascii="Georgia" w:eastAsia="Georgia" w:hAnsi="Georgia" w:cs="Georgia"/>
              <w:bCs/>
              <w:sz w:val="16"/>
              <w:szCs w:val="16"/>
            </w:rPr>
            <w:t>-junio-2024</w:t>
          </w:r>
        </w:p>
        <w:p w:rsidR="00E71368" w:rsidRPr="00331A8E" w:rsidRDefault="00E71368" w:rsidP="00E71368">
          <w:pPr>
            <w:spacing w:after="0"/>
            <w:ind w:hanging="2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>Versión</w:t>
          </w:r>
          <w:r w:rsidRPr="00331A8E">
            <w:rPr>
              <w:rFonts w:ascii="Georgia" w:eastAsia="Georgia" w:hAnsi="Georgia" w:cs="Georgia"/>
              <w:b/>
              <w:sz w:val="16"/>
              <w:szCs w:val="16"/>
            </w:rPr>
            <w:t>:</w:t>
          </w: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:rsidR="00E71368" w:rsidRDefault="00E71368" w:rsidP="00E71368">
          <w:pPr>
            <w:spacing w:after="0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15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30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E71368" w:rsidTr="00A064D0">
      <w:trPr>
        <w:trHeight w:val="964"/>
      </w:trPr>
      <w:tc>
        <w:tcPr>
          <w:tcW w:w="2552" w:type="dxa"/>
          <w:vMerge/>
          <w:vAlign w:val="center"/>
        </w:tcPr>
        <w:p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969" w:type="dxa"/>
          <w:vAlign w:val="center"/>
        </w:tcPr>
        <w:p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ind w:hanging="2"/>
            <w:jc w:val="center"/>
            <w:rPr>
              <w:rFonts w:ascii="Georgia" w:eastAsia="Georgia" w:hAnsi="Georgia" w:cs="Georgia"/>
              <w:b/>
              <w:color w:val="000000"/>
              <w:sz w:val="16"/>
              <w:szCs w:val="16"/>
            </w:rPr>
          </w:pPr>
          <w:r w:rsidRPr="00D0050D"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 xml:space="preserve">Coordinación de </w:t>
          </w:r>
          <w:r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/>
        </w:tcPr>
        <w:p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:rsidR="00E71368" w:rsidRDefault="00A064D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2B4EA27" wp14:editId="3187A65F">
          <wp:simplePos x="0" y="0"/>
          <wp:positionH relativeFrom="column">
            <wp:posOffset>8528693</wp:posOffset>
          </wp:positionH>
          <wp:positionV relativeFrom="page">
            <wp:posOffset>28575</wp:posOffset>
          </wp:positionV>
          <wp:extent cx="1258784" cy="966943"/>
          <wp:effectExtent l="0" t="0" r="0" b="5080"/>
          <wp:wrapNone/>
          <wp:docPr id="1863216971" name="Imagen 1863216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258784" cy="966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E71368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68"/>
    <w:rsid w:val="0025209B"/>
    <w:rsid w:val="005572B6"/>
    <w:rsid w:val="00565764"/>
    <w:rsid w:val="006128C7"/>
    <w:rsid w:val="007802D3"/>
    <w:rsid w:val="00790714"/>
    <w:rsid w:val="00A064D0"/>
    <w:rsid w:val="00A61B30"/>
    <w:rsid w:val="00A94366"/>
    <w:rsid w:val="00AC4014"/>
    <w:rsid w:val="00BF6A0A"/>
    <w:rsid w:val="00C451DF"/>
    <w:rsid w:val="00CF6EA4"/>
    <w:rsid w:val="00E71368"/>
    <w:rsid w:val="00E73DE7"/>
    <w:rsid w:val="00EC710A"/>
    <w:rsid w:val="00F512A1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C91E42D-B32C-499E-B7D9-D8F0568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368"/>
    <w:rPr>
      <w:rFonts w:ascii="Calibri" w:eastAsia="Calibri" w:hAnsi="Calibri" w:cs="Calibri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71368"/>
  </w:style>
  <w:style w:type="paragraph" w:styleId="Piedepgina">
    <w:name w:val="footer"/>
    <w:basedOn w:val="Normal"/>
    <w:link w:val="Piedepgina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1368"/>
  </w:style>
  <w:style w:type="table" w:styleId="Tablaconcuadrcula">
    <w:name w:val="Table Grid"/>
    <w:basedOn w:val="Tablanormal"/>
    <w:uiPriority w:val="39"/>
    <w:rsid w:val="00E71368"/>
    <w:pPr>
      <w:spacing w:after="0" w:line="240" w:lineRule="auto"/>
    </w:pPr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1368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Huera</dc:creator>
  <cp:keywords/>
  <dc:description/>
  <cp:lastModifiedBy>user</cp:lastModifiedBy>
  <cp:revision>4</cp:revision>
  <dcterms:created xsi:type="dcterms:W3CDTF">2024-06-19T19:19:00Z</dcterms:created>
  <dcterms:modified xsi:type="dcterms:W3CDTF">2024-06-20T20:26:00Z</dcterms:modified>
</cp:coreProperties>
</file>